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52" w:rsidRDefault="00CA1C52" w:rsidP="00D17A5F">
      <w:pPr>
        <w:rPr>
          <w:sz w:val="28"/>
          <w:szCs w:val="28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2977"/>
        <w:gridCol w:w="3543"/>
      </w:tblGrid>
      <w:tr w:rsidR="00CA1C52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A1C52" w:rsidRDefault="00CA1C52">
            <w:pPr>
              <w:spacing w:line="276" w:lineRule="auto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CA1C52" w:rsidRDefault="00CA1C5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CA1C52" w:rsidRDefault="00CA1C5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1C52" w:rsidRDefault="00CA1C5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kern w:val="2"/>
                <w:lang w:eastAsia="hi-IN" w:bidi="hi-IN"/>
              </w:rPr>
            </w:pPr>
            <w:r w:rsidRPr="0086165E">
              <w:rPr>
                <w:kern w:val="2"/>
                <w:sz w:val="20"/>
                <w:szCs w:val="20"/>
                <w:lang w:eastAsia="hi-IN" w:bidi="hi-IN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57.75pt" o:ole="" fillcolor="window">
                  <v:imagedata r:id="rId5" o:title=""/>
                </v:shape>
                <o:OLEObject Type="Embed" ProgID="Word.Picture.8" ShapeID="_x0000_i1025" DrawAspect="Content" ObjectID="_1720351425" r:id="rId6"/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A1C52" w:rsidRDefault="00CA1C52">
            <w:pPr>
              <w:spacing w:line="276" w:lineRule="auto"/>
              <w:ind w:firstLine="720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Совет</w:t>
            </w:r>
          </w:p>
          <w:p w:rsidR="00CA1C52" w:rsidRDefault="00CA1C5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сельского поселения</w:t>
            </w:r>
          </w:p>
          <w:p w:rsidR="00CA1C52" w:rsidRDefault="00CA1C5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CA1C52" w:rsidRPr="00C8384D" w:rsidRDefault="00CA1C52" w:rsidP="00D17A5F">
      <w:pPr>
        <w:pStyle w:val="3"/>
        <w:tabs>
          <w:tab w:val="left" w:pos="2655"/>
        </w:tabs>
        <w:jc w:val="center"/>
        <w:rPr>
          <w:rFonts w:ascii="Times New Roman" w:hAnsi="Times New Roman" w:cs="Times New Roman"/>
          <w:kern w:val="2"/>
          <w:sz w:val="22"/>
          <w:szCs w:val="22"/>
          <w:lang w:eastAsia="hi-IN" w:bidi="hi-IN"/>
        </w:rPr>
      </w:pPr>
      <w:proofErr w:type="gramStart"/>
      <w:r w:rsidRPr="00C8384D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C8384D">
        <w:rPr>
          <w:rFonts w:ascii="Times New Roman" w:hAnsi="Times New Roman" w:cs="Times New Roman"/>
          <w:sz w:val="22"/>
          <w:szCs w:val="22"/>
        </w:rPr>
        <w:t xml:space="preserve"> О М Ш У Ö М</w:t>
      </w:r>
    </w:p>
    <w:p w:rsidR="00CA1C52" w:rsidRPr="00C8384D" w:rsidRDefault="00CA1C52" w:rsidP="00D17A5F">
      <w:pPr>
        <w:jc w:val="center"/>
        <w:rPr>
          <w:b/>
          <w:bCs/>
          <w:sz w:val="22"/>
          <w:szCs w:val="22"/>
        </w:rPr>
      </w:pPr>
      <w:proofErr w:type="gramStart"/>
      <w:r w:rsidRPr="00C8384D">
        <w:rPr>
          <w:b/>
          <w:bCs/>
          <w:sz w:val="22"/>
          <w:szCs w:val="22"/>
        </w:rPr>
        <w:t>Р</w:t>
      </w:r>
      <w:proofErr w:type="gramEnd"/>
      <w:r w:rsidRPr="00C8384D">
        <w:rPr>
          <w:b/>
          <w:bCs/>
          <w:sz w:val="22"/>
          <w:szCs w:val="22"/>
        </w:rPr>
        <w:t xml:space="preserve"> Е Ш Е Н И Е</w:t>
      </w:r>
    </w:p>
    <w:p w:rsidR="00CA1C52" w:rsidRPr="00C8384D" w:rsidRDefault="00CA1C52" w:rsidP="00D17A5F">
      <w:pPr>
        <w:rPr>
          <w:sz w:val="22"/>
          <w:szCs w:val="22"/>
          <w:lang w:eastAsia="en-US"/>
        </w:rPr>
      </w:pPr>
    </w:p>
    <w:p w:rsidR="00944472" w:rsidRDefault="00944472" w:rsidP="00944472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08 февраля 2019 года                                                          № 4/30-2</w:t>
      </w:r>
    </w:p>
    <w:p w:rsidR="00944472" w:rsidRDefault="00944472" w:rsidP="00944472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 (Республика Коми, с. 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)</w:t>
      </w:r>
    </w:p>
    <w:p w:rsidR="00944472" w:rsidRDefault="00944472" w:rsidP="00944472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</w:t>
      </w:r>
    </w:p>
    <w:p w:rsidR="00944472" w:rsidRDefault="00944472" w:rsidP="00944472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«Об установлении налога на имущество физических лиц на территории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944472" w:rsidRDefault="00944472" w:rsidP="00944472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 </w:t>
      </w:r>
      <w:proofErr w:type="gramStart"/>
      <w:r>
        <w:rPr>
          <w:color w:val="212121"/>
          <w:sz w:val="21"/>
          <w:szCs w:val="21"/>
        </w:rPr>
        <w:t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Коми от 23 октября 2014 г. № 123-РЗ «О единой дате начала применения на территории Республики Коми порядка определения налоговой базы по налогу на имущество физических лиц исходя из кадастровой стоимости объектов налогообложения», Уставом сельского поселения</w:t>
      </w:r>
      <w:proofErr w:type="gramEnd"/>
      <w:r>
        <w:rPr>
          <w:color w:val="212121"/>
          <w:sz w:val="21"/>
          <w:szCs w:val="21"/>
        </w:rPr>
        <w:t xml:space="preserve">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», Совет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решил:</w:t>
      </w:r>
    </w:p>
    <w:p w:rsidR="00944472" w:rsidRDefault="00944472" w:rsidP="00944472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    Установить и ввести на территории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налог на имущество физических лиц.</w:t>
      </w:r>
    </w:p>
    <w:p w:rsidR="00944472" w:rsidRDefault="00944472" w:rsidP="00944472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  Установить налоговые ставки исходя из кадастровой стоимости объекта налогообложения в следующих размерах:</w:t>
      </w:r>
    </w:p>
    <w:p w:rsidR="00944472" w:rsidRDefault="00944472" w:rsidP="00944472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        0,1 % в отношении:</w:t>
      </w:r>
    </w:p>
    <w:p w:rsidR="00944472" w:rsidRDefault="00944472" w:rsidP="00944472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жилых домов, частей жилых домов, квартир, частей квартир, комнат;</w:t>
      </w:r>
    </w:p>
    <w:p w:rsidR="00944472" w:rsidRDefault="00944472" w:rsidP="00944472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объектов незавершенного строительства в случае, если проектируемым назначением таких объектов является жилой дом;</w:t>
      </w:r>
    </w:p>
    <w:p w:rsidR="00944472" w:rsidRDefault="00944472" w:rsidP="00944472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единых недвижимых комплексов, в состав которых входит хотя бы один жилой дом;</w:t>
      </w:r>
    </w:p>
    <w:p w:rsidR="00944472" w:rsidRDefault="00944472" w:rsidP="00944472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г) гаражей и </w:t>
      </w:r>
      <w:proofErr w:type="spellStart"/>
      <w:r>
        <w:rPr>
          <w:color w:val="212121"/>
          <w:sz w:val="21"/>
          <w:szCs w:val="21"/>
        </w:rPr>
        <w:t>машино-мест</w:t>
      </w:r>
      <w:proofErr w:type="spellEnd"/>
      <w:r>
        <w:rPr>
          <w:color w:val="212121"/>
          <w:sz w:val="21"/>
          <w:szCs w:val="21"/>
        </w:rPr>
        <w:t>, в том числе расположенных в объектах налогообложения, указанных в подпункте 2 настоящего пункта;</w:t>
      </w:r>
    </w:p>
    <w:p w:rsidR="00944472" w:rsidRDefault="00944472" w:rsidP="00944472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д</w:t>
      </w:r>
      <w:proofErr w:type="spellEnd"/>
      <w:r>
        <w:rPr>
          <w:color w:val="212121"/>
          <w:sz w:val="21"/>
          <w:szCs w:val="21"/>
        </w:rPr>
        <w:t>)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944472" w:rsidRDefault="00944472" w:rsidP="00944472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        2 процента в отношении:</w:t>
      </w:r>
    </w:p>
    <w:p w:rsidR="00944472" w:rsidRDefault="00944472" w:rsidP="00944472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944472" w:rsidRDefault="00944472" w:rsidP="00944472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объектов налогообложения, предусмотренных абзацем вторым пункта 10 статьи 378.2 Налогового кодекса Российской Федерации;</w:t>
      </w:r>
    </w:p>
    <w:p w:rsidR="00944472" w:rsidRDefault="00944472" w:rsidP="00944472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в отношении объектов налогообложения, кадастровая стоимость каждого из которых превышает 300 миллионов рублей.</w:t>
      </w:r>
    </w:p>
    <w:p w:rsidR="00944472" w:rsidRDefault="00944472" w:rsidP="00944472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0,5 процента в отношении прочих объектов налогообложения.</w:t>
      </w:r>
    </w:p>
    <w:p w:rsidR="00944472" w:rsidRDefault="00944472" w:rsidP="00944472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         Налоговая льгота предоставляется в порядке, предусмотренном статьей 407 Налогового кодекса Российской Федерации.</w:t>
      </w:r>
    </w:p>
    <w:p w:rsidR="00944472" w:rsidRDefault="00944472" w:rsidP="00944472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 Признать утратившими силу Решения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»:</w:t>
      </w:r>
    </w:p>
    <w:p w:rsidR="00944472" w:rsidRDefault="00944472" w:rsidP="00944472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- от 05 ноября 2014 г. № 3/27-2 «Об установлении налога на имущество физических лиц на территории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»;</w:t>
      </w:r>
    </w:p>
    <w:p w:rsidR="00944472" w:rsidRDefault="00944472" w:rsidP="00944472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 от 12.07.2018г.№ 4/24-2 « О внесении изменений в решение Совета от 05 ноября 2014 года № 3/27-2 «Об установлении налога на имущество физических лиц на территории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944472" w:rsidRDefault="00944472" w:rsidP="00944472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Настоящее решение вступает в силу с 1 января 2019 года, но не ранее чем по истечении одного месяца со дня его официального опубликования (обнародования)</w:t>
      </w:r>
    </w:p>
    <w:p w:rsidR="00944472" w:rsidRDefault="00944472" w:rsidP="00944472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944472" w:rsidRDefault="00944472" w:rsidP="00944472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поселения -                               </w:t>
      </w:r>
      <w:proofErr w:type="spellStart"/>
      <w:r>
        <w:rPr>
          <w:color w:val="212121"/>
          <w:sz w:val="21"/>
          <w:szCs w:val="21"/>
        </w:rPr>
        <w:t>О.В.Собянин</w:t>
      </w:r>
      <w:proofErr w:type="spellEnd"/>
    </w:p>
    <w:p w:rsidR="00CA1C52" w:rsidRDefault="00CA1C52" w:rsidP="00944472">
      <w:pPr>
        <w:pStyle w:val="a5"/>
        <w:shd w:val="clear" w:color="auto" w:fill="FFFFFF"/>
        <w:spacing w:before="0" w:beforeAutospacing="0"/>
      </w:pPr>
    </w:p>
    <w:sectPr w:rsidR="00CA1C52" w:rsidSect="00075E5B">
      <w:pgSz w:w="11905" w:h="16838"/>
      <w:pgMar w:top="426" w:right="1021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5B9A639B"/>
    <w:multiLevelType w:val="multilevel"/>
    <w:tmpl w:val="17F8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E27F6"/>
    <w:rsid w:val="00055D35"/>
    <w:rsid w:val="00073618"/>
    <w:rsid w:val="00073D90"/>
    <w:rsid w:val="00075E5B"/>
    <w:rsid w:val="000C645A"/>
    <w:rsid w:val="001421C1"/>
    <w:rsid w:val="00176DA4"/>
    <w:rsid w:val="00362478"/>
    <w:rsid w:val="00381FFF"/>
    <w:rsid w:val="003A23C3"/>
    <w:rsid w:val="004366C3"/>
    <w:rsid w:val="00446CEB"/>
    <w:rsid w:val="00533410"/>
    <w:rsid w:val="006846E8"/>
    <w:rsid w:val="006A302E"/>
    <w:rsid w:val="006E566D"/>
    <w:rsid w:val="00805735"/>
    <w:rsid w:val="0086165E"/>
    <w:rsid w:val="00944472"/>
    <w:rsid w:val="009C14BE"/>
    <w:rsid w:val="00AB22B5"/>
    <w:rsid w:val="00B15982"/>
    <w:rsid w:val="00BA1946"/>
    <w:rsid w:val="00C53CB1"/>
    <w:rsid w:val="00C56D53"/>
    <w:rsid w:val="00C8384D"/>
    <w:rsid w:val="00CA1C52"/>
    <w:rsid w:val="00CE6015"/>
    <w:rsid w:val="00D17A5F"/>
    <w:rsid w:val="00DA2DA3"/>
    <w:rsid w:val="00DB3E80"/>
    <w:rsid w:val="00E00123"/>
    <w:rsid w:val="00E2645B"/>
    <w:rsid w:val="00E46624"/>
    <w:rsid w:val="00E475B9"/>
    <w:rsid w:val="00E55793"/>
    <w:rsid w:val="00F13005"/>
    <w:rsid w:val="00FE20EC"/>
    <w:rsid w:val="00FE27F6"/>
    <w:rsid w:val="00FF18A0"/>
    <w:rsid w:val="00FF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F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17A5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17A5F"/>
    <w:rPr>
      <w:rFonts w:ascii="Cambria" w:hAnsi="Cambria" w:cs="Cambria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FE27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27F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75E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Elanika</cp:lastModifiedBy>
  <cp:revision>2</cp:revision>
  <cp:lastPrinted>2019-04-08T12:40:00Z</cp:lastPrinted>
  <dcterms:created xsi:type="dcterms:W3CDTF">2022-07-26T11:37:00Z</dcterms:created>
  <dcterms:modified xsi:type="dcterms:W3CDTF">2022-07-26T11:37:00Z</dcterms:modified>
</cp:coreProperties>
</file>